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4C22D4" w:rsidRDefault="003E1D57">
      <w:pPr>
        <w:rPr>
          <w:rFonts w:cstheme="minorHAnsi"/>
          <w:sz w:val="17"/>
          <w:szCs w:val="17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242"/>
        <w:gridCol w:w="1134"/>
        <w:gridCol w:w="849"/>
        <w:gridCol w:w="11200"/>
      </w:tblGrid>
      <w:tr w:rsidR="003E1D57" w:rsidRPr="004C22D4" w:rsidTr="004C22D4">
        <w:trPr>
          <w:cantSplit/>
          <w:tblHeader/>
        </w:trPr>
        <w:tc>
          <w:tcPr>
            <w:tcW w:w="1242" w:type="dxa"/>
            <w:shd w:val="clear" w:color="auto" w:fill="BFBFBF" w:themeFill="background1" w:themeFillShade="BF"/>
          </w:tcPr>
          <w:p w:rsidR="003E1D57" w:rsidRPr="004C22D4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4C22D4">
              <w:rPr>
                <w:rFonts w:cstheme="minorHAnsi"/>
                <w:b/>
                <w:sz w:val="17"/>
                <w:szCs w:val="17"/>
              </w:rPr>
              <w:t>Section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E1D57" w:rsidRPr="004C22D4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4C22D4">
              <w:rPr>
                <w:rFonts w:cstheme="minorHAnsi"/>
                <w:b/>
                <w:sz w:val="17"/>
                <w:szCs w:val="17"/>
              </w:rPr>
              <w:t>Lesson title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3E1D57" w:rsidRPr="004C22D4" w:rsidRDefault="0012258A" w:rsidP="00FE7C99">
            <w:pPr>
              <w:rPr>
                <w:rFonts w:cstheme="minorHAnsi"/>
                <w:b/>
                <w:sz w:val="17"/>
                <w:szCs w:val="17"/>
              </w:rPr>
            </w:pPr>
            <w:r w:rsidRPr="004C22D4">
              <w:rPr>
                <w:rFonts w:cstheme="minorHAnsi"/>
                <w:b/>
                <w:sz w:val="17"/>
                <w:szCs w:val="17"/>
              </w:rPr>
              <w:t xml:space="preserve">Page </w:t>
            </w:r>
          </w:p>
        </w:tc>
        <w:tc>
          <w:tcPr>
            <w:tcW w:w="11200" w:type="dxa"/>
            <w:shd w:val="clear" w:color="auto" w:fill="BFBFBF" w:themeFill="background1" w:themeFillShade="BF"/>
          </w:tcPr>
          <w:p w:rsidR="003E1D57" w:rsidRPr="004C22D4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4C22D4">
              <w:rPr>
                <w:rFonts w:cstheme="minorHAnsi"/>
                <w:b/>
                <w:sz w:val="17"/>
                <w:szCs w:val="17"/>
              </w:rPr>
              <w:t>Objective(s)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To the moon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8C7E8F" w:rsidP="00F6759B">
            <w:pPr>
              <w:rPr>
                <w:rFonts w:cstheme="minorHAns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develop pleasure in reading, motivation to read, vocabulary and understanding by </w:t>
            </w:r>
            <w:r w:rsidR="00843F46" w:rsidRPr="004C22D4">
              <w:rPr>
                <w:sz w:val="17"/>
                <w:szCs w:val="17"/>
              </w:rPr>
              <w:t>discussing the sequence of events in books and how items of information are related</w:t>
            </w:r>
            <w:r w:rsidR="00E71342"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Good and not-so-good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1 programme of study: READING: Comprehension</w:t>
            </w:r>
          </w:p>
          <w:p w:rsidR="00843F46" w:rsidRPr="004C22D4" w:rsidRDefault="00E71342" w:rsidP="00E71342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develop pleasure in reading, motivatio</w:t>
            </w:r>
            <w:r w:rsidRPr="004C22D4">
              <w:rPr>
                <w:sz w:val="17"/>
                <w:szCs w:val="17"/>
              </w:rPr>
              <w:t xml:space="preserve">n to read, and understanding by </w:t>
            </w:r>
            <w:r w:rsidR="00843F46" w:rsidRPr="004C22D4">
              <w:rPr>
                <w:sz w:val="17"/>
                <w:szCs w:val="17"/>
              </w:rPr>
              <w:t>being encouraged to link what they read or hear read to their own experiences</w:t>
            </w:r>
            <w:r w:rsidRPr="004C22D4">
              <w:rPr>
                <w:sz w:val="17"/>
                <w:szCs w:val="17"/>
              </w:rPr>
              <w:t>.</w:t>
            </w:r>
          </w:p>
          <w:p w:rsidR="00843F46" w:rsidRPr="004C22D4" w:rsidRDefault="00843F46" w:rsidP="00843F46">
            <w:pPr>
              <w:rPr>
                <w:sz w:val="17"/>
                <w:szCs w:val="17"/>
              </w:rPr>
            </w:pPr>
          </w:p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Who said this?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061EA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AA1DB9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br w:type="page"/>
            </w:r>
            <w:r w:rsidR="005716A0"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Characters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What if…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participate in discussion about books, poems and other works that are read to them and those that they can read for themselves, taking turns and listening to what others say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br w:type="page"/>
            </w:r>
            <w:r w:rsidR="005716A0"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Baby Bear’s expression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Years 3-4 programme of study: READING: Comprehension</w:t>
            </w:r>
          </w:p>
          <w:p w:rsidR="004A3B36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 xml:space="preserve">understand what they read, in books they can read independently, </w:t>
            </w:r>
            <w:r w:rsidRPr="004C22D4">
              <w:rPr>
                <w:sz w:val="17"/>
                <w:szCs w:val="17"/>
              </w:rPr>
              <w:t xml:space="preserve">by </w:t>
            </w:r>
            <w:r w:rsidR="00843F46" w:rsidRPr="004C22D4">
              <w:rPr>
                <w:sz w:val="17"/>
                <w:szCs w:val="17"/>
              </w:rPr>
              <w:t>identifying main ideas drawn from more than one paragraph and summarising these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AA1DB9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br w:type="page"/>
            </w:r>
            <w:r w:rsidR="005716A0"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What they did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7E6449" w:rsidRPr="004C22D4" w:rsidRDefault="008C7E8F" w:rsidP="00F6759B">
            <w:pPr>
              <w:rPr>
                <w:rFonts w:cstheme="minorHAns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develop pleasure in reading, motivation to read, vocabulary and understanding by </w:t>
            </w:r>
            <w:r w:rsidR="00843F46" w:rsidRPr="004C22D4">
              <w:rPr>
                <w:sz w:val="17"/>
                <w:szCs w:val="17"/>
              </w:rPr>
              <w:t>becoming increasing familiar with and retelling a wider range of stories, fairy stories and traditional tales</w:t>
            </w:r>
            <w:r w:rsidR="00E71342"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Home and moon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8C7E8F" w:rsidP="00F6759B">
            <w:pPr>
              <w:rPr>
                <w:rFonts w:cstheme="minorHAns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develop pleasure in reading, motivation to read, vocabulary and understanding by </w:t>
            </w:r>
            <w:r w:rsidR="00843F46" w:rsidRPr="004C22D4">
              <w:rPr>
                <w:sz w:val="17"/>
                <w:szCs w:val="17"/>
              </w:rPr>
              <w:t>becoming increasing familiar with and retelling a wider range of stories, fairy stories and traditional tales</w:t>
            </w:r>
            <w:r w:rsidR="00E71342"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br w:type="page"/>
            </w:r>
            <w:r w:rsidR="005716A0" w:rsidRPr="004C22D4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Can I…?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WRITING: Composition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consider what they are goi</w:t>
            </w:r>
            <w:r w:rsidRPr="004C22D4">
              <w:rPr>
                <w:sz w:val="17"/>
                <w:szCs w:val="17"/>
              </w:rPr>
              <w:t xml:space="preserve">ng to write before beginning by </w:t>
            </w:r>
            <w:r w:rsidR="00843F46" w:rsidRPr="004C22D4">
              <w:rPr>
                <w:sz w:val="17"/>
                <w:szCs w:val="17"/>
              </w:rPr>
              <w:t>writing down ideas and/or key words, including new vocabulary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Make a box-rocket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1 / Year 2</w:t>
            </w:r>
          </w:p>
          <w:p w:rsidR="001B4883" w:rsidRPr="004C22D4" w:rsidRDefault="00843F46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Specific requirements for pupils to discuss what they are learning and to develop their wider skills in spoken language form part of this programme of study.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Chatting on a journey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1 / Year 2</w:t>
            </w:r>
          </w:p>
          <w:p w:rsidR="00843F46" w:rsidRPr="004C22D4" w:rsidRDefault="00843F46" w:rsidP="00843F46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Specific requirements for pupils to discuss what they are learning and to develop their wider skills in spoken language form part of this programme of study.</w:t>
            </w:r>
          </w:p>
          <w:p w:rsidR="00F6759B" w:rsidRPr="004C22D4" w:rsidRDefault="00F6759B" w:rsidP="00843F46">
            <w:pPr>
              <w:rPr>
                <w:sz w:val="17"/>
                <w:szCs w:val="17"/>
              </w:rPr>
            </w:pPr>
          </w:p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Bath time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1 / Year 2</w:t>
            </w:r>
          </w:p>
          <w:p w:rsidR="00843F46" w:rsidRPr="004C22D4" w:rsidRDefault="00843F46" w:rsidP="00843F46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Specific requirements for pupils to discuss what they are learning and to develop their wider skills in spoken language form part of this programme of study.</w:t>
            </w:r>
          </w:p>
          <w:p w:rsidR="00843F46" w:rsidRPr="004C22D4" w:rsidRDefault="00843F46" w:rsidP="00843F46">
            <w:pPr>
              <w:rPr>
                <w:sz w:val="17"/>
                <w:szCs w:val="17"/>
              </w:rPr>
            </w:pPr>
          </w:p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lastRenderedPageBreak/>
              <w:br w:type="page"/>
            </w:r>
            <w:r w:rsidR="005716A0" w:rsidRPr="004C22D4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I think…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participate in discussion about books, poems and other works that are read to them and those that they can read for themselves, taking turns and listening to what others say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134" w:type="dxa"/>
          </w:tcPr>
          <w:p w:rsidR="005716A0" w:rsidRPr="004C22D4" w:rsidRDefault="009B4D2E" w:rsidP="00F62B19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Where to go, what to take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1 / Year 2</w:t>
            </w:r>
          </w:p>
          <w:p w:rsidR="006C247D" w:rsidRPr="004C22D4" w:rsidRDefault="00843F46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Specific requirements for pupils to discuss what they are learning and to develop their wider skills in spoken language form part of this programme of study.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AA1DB9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br w:type="page"/>
            </w:r>
            <w:r w:rsidR="005716A0" w:rsidRPr="004C22D4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134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How to go to the moon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WRITING: Composition</w:t>
            </w:r>
          </w:p>
          <w:p w:rsidR="007C1A11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 xml:space="preserve">develop positive attitudes towards and </w:t>
            </w:r>
            <w:r w:rsidRPr="004C22D4">
              <w:rPr>
                <w:sz w:val="17"/>
                <w:szCs w:val="17"/>
              </w:rPr>
              <w:t xml:space="preserve">stamina for writing by </w:t>
            </w:r>
            <w:r w:rsidR="00843F46" w:rsidRPr="004C22D4">
              <w:rPr>
                <w:sz w:val="17"/>
                <w:szCs w:val="17"/>
              </w:rPr>
              <w:t>writing for different purposes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5716A0" w:rsidRPr="004C22D4" w:rsidTr="004C22D4">
        <w:trPr>
          <w:cantSplit/>
        </w:trPr>
        <w:tc>
          <w:tcPr>
            <w:tcW w:w="1242" w:type="dxa"/>
          </w:tcPr>
          <w:p w:rsidR="005716A0" w:rsidRPr="004C22D4" w:rsidRDefault="005716A0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134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Moon journey</w:t>
            </w:r>
          </w:p>
        </w:tc>
        <w:tc>
          <w:tcPr>
            <w:tcW w:w="849" w:type="dxa"/>
          </w:tcPr>
          <w:p w:rsidR="005716A0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WRITING: Composition</w:t>
            </w:r>
          </w:p>
          <w:p w:rsidR="005716A0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consider what they are goi</w:t>
            </w:r>
            <w:r w:rsidRPr="004C22D4">
              <w:rPr>
                <w:sz w:val="17"/>
                <w:szCs w:val="17"/>
              </w:rPr>
              <w:t xml:space="preserve">ng to write before beginning by </w:t>
            </w:r>
            <w:r w:rsidR="00843F46" w:rsidRPr="004C22D4">
              <w:rPr>
                <w:sz w:val="17"/>
                <w:szCs w:val="17"/>
              </w:rPr>
              <w:t>planning or saying out loud what they are going to write about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300F06" w:rsidRPr="004C22D4" w:rsidTr="004C22D4">
        <w:trPr>
          <w:cantSplit/>
        </w:trPr>
        <w:tc>
          <w:tcPr>
            <w:tcW w:w="1242" w:type="dxa"/>
          </w:tcPr>
          <w:p w:rsidR="00300F06" w:rsidRPr="004C22D4" w:rsidRDefault="00300F06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134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Captain’s log</w:t>
            </w:r>
          </w:p>
        </w:tc>
        <w:tc>
          <w:tcPr>
            <w:tcW w:w="849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843F46" w:rsidRPr="004C22D4" w:rsidRDefault="00E71342" w:rsidP="00E71342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</w:p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WRITING: Composition</w:t>
            </w:r>
          </w:p>
          <w:p w:rsidR="00300F06" w:rsidRPr="004C22D4" w:rsidRDefault="00E71342" w:rsidP="00F6759B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develop positive attitudes tow</w:t>
            </w:r>
            <w:r w:rsidRPr="004C22D4">
              <w:rPr>
                <w:sz w:val="17"/>
                <w:szCs w:val="17"/>
              </w:rPr>
              <w:t xml:space="preserve">ards and stamina for writing by </w:t>
            </w:r>
            <w:r w:rsidR="00843F46" w:rsidRPr="004C22D4">
              <w:rPr>
                <w:sz w:val="17"/>
                <w:szCs w:val="17"/>
              </w:rPr>
              <w:t>writing for different purposes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300F06" w:rsidRPr="004C22D4" w:rsidTr="004C22D4">
        <w:trPr>
          <w:cantSplit/>
        </w:trPr>
        <w:tc>
          <w:tcPr>
            <w:tcW w:w="1242" w:type="dxa"/>
          </w:tcPr>
          <w:p w:rsidR="00300F06" w:rsidRPr="004C22D4" w:rsidRDefault="00300F06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134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Pretending to be</w:t>
            </w:r>
          </w:p>
        </w:tc>
        <w:tc>
          <w:tcPr>
            <w:tcW w:w="849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WRITING: Composition</w:t>
            </w:r>
          </w:p>
          <w:p w:rsidR="00843F46" w:rsidRPr="004C22D4" w:rsidRDefault="00E71342" w:rsidP="00E71342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develop positive attitudes tow</w:t>
            </w:r>
            <w:r w:rsidRPr="004C22D4">
              <w:rPr>
                <w:sz w:val="17"/>
                <w:szCs w:val="17"/>
              </w:rPr>
              <w:t xml:space="preserve">ards and stamina for writing by </w:t>
            </w:r>
            <w:r w:rsidR="00843F46" w:rsidRPr="004C22D4">
              <w:rPr>
                <w:sz w:val="17"/>
                <w:szCs w:val="17"/>
              </w:rPr>
              <w:t>writing for different purposes</w:t>
            </w:r>
            <w:r w:rsidRPr="004C22D4">
              <w:rPr>
                <w:sz w:val="17"/>
                <w:szCs w:val="17"/>
              </w:rPr>
              <w:t>.</w:t>
            </w:r>
          </w:p>
          <w:p w:rsidR="00300F06" w:rsidRPr="004C22D4" w:rsidRDefault="00E71342" w:rsidP="00F6759B">
            <w:pPr>
              <w:pStyle w:val="ListParagraph"/>
              <w:ind w:left="0"/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consider what they are goi</w:t>
            </w:r>
            <w:r w:rsidRPr="004C22D4">
              <w:rPr>
                <w:sz w:val="17"/>
                <w:szCs w:val="17"/>
              </w:rPr>
              <w:t xml:space="preserve">ng to write before beginning by </w:t>
            </w:r>
            <w:r w:rsidR="00843F46" w:rsidRPr="004C22D4">
              <w:rPr>
                <w:sz w:val="17"/>
                <w:szCs w:val="17"/>
              </w:rPr>
              <w:t>writing down ideas and/or key words, including new vocabulary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300F06" w:rsidRPr="004C22D4" w:rsidTr="004C22D4">
        <w:trPr>
          <w:cantSplit/>
        </w:trPr>
        <w:tc>
          <w:tcPr>
            <w:tcW w:w="1242" w:type="dxa"/>
          </w:tcPr>
          <w:p w:rsidR="00300F06" w:rsidRPr="004C22D4" w:rsidRDefault="00300F06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134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Journey plan</w:t>
            </w:r>
          </w:p>
        </w:tc>
        <w:tc>
          <w:tcPr>
            <w:tcW w:w="849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WRITING: Composition</w:t>
            </w:r>
          </w:p>
          <w:p w:rsidR="00843F46" w:rsidRPr="004C22D4" w:rsidRDefault="00E71342" w:rsidP="00843F46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develop positive attitudes tow</w:t>
            </w:r>
            <w:r w:rsidRPr="004C22D4">
              <w:rPr>
                <w:sz w:val="17"/>
                <w:szCs w:val="17"/>
              </w:rPr>
              <w:t xml:space="preserve">ards and stamina for writing by </w:t>
            </w:r>
            <w:r w:rsidR="00843F46" w:rsidRPr="004C22D4">
              <w:rPr>
                <w:sz w:val="17"/>
                <w:szCs w:val="17"/>
              </w:rPr>
              <w:t>writing narratives about personal experiences and those of others (real and fictional)</w:t>
            </w:r>
            <w:r w:rsidRPr="004C22D4">
              <w:rPr>
                <w:sz w:val="17"/>
                <w:szCs w:val="17"/>
              </w:rPr>
              <w:t>.</w:t>
            </w:r>
          </w:p>
          <w:p w:rsidR="00300F06" w:rsidRPr="004C22D4" w:rsidRDefault="00E71342" w:rsidP="00F6759B">
            <w:pPr>
              <w:pStyle w:val="ListParagraph"/>
              <w:ind w:left="0"/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consider what they are goi</w:t>
            </w:r>
            <w:r w:rsidRPr="004C22D4">
              <w:rPr>
                <w:sz w:val="17"/>
                <w:szCs w:val="17"/>
              </w:rPr>
              <w:t xml:space="preserve">ng to write before beginning by </w:t>
            </w:r>
            <w:r w:rsidR="00843F46" w:rsidRPr="004C22D4">
              <w:rPr>
                <w:sz w:val="17"/>
                <w:szCs w:val="17"/>
              </w:rPr>
              <w:t>planning or saying out loud what they are going to write about</w:t>
            </w:r>
            <w:r w:rsidRPr="004C22D4">
              <w:rPr>
                <w:sz w:val="17"/>
                <w:szCs w:val="17"/>
              </w:rPr>
              <w:t>.</w:t>
            </w:r>
          </w:p>
        </w:tc>
      </w:tr>
      <w:tr w:rsidR="00300F06" w:rsidRPr="004C22D4" w:rsidTr="004C22D4">
        <w:trPr>
          <w:cantSplit/>
        </w:trPr>
        <w:tc>
          <w:tcPr>
            <w:tcW w:w="1242" w:type="dxa"/>
          </w:tcPr>
          <w:p w:rsidR="00300F06" w:rsidRPr="004C22D4" w:rsidRDefault="00300F06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134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Postcards from</w:t>
            </w:r>
          </w:p>
        </w:tc>
        <w:tc>
          <w:tcPr>
            <w:tcW w:w="849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843F46" w:rsidRPr="004C22D4" w:rsidRDefault="00E71342" w:rsidP="00E71342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  <w:p w:rsidR="004C22D4" w:rsidRDefault="004C22D4" w:rsidP="00843F46">
            <w:pPr>
              <w:rPr>
                <w:b/>
                <w:sz w:val="17"/>
                <w:szCs w:val="17"/>
              </w:rPr>
            </w:pPr>
          </w:p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WRITING: Composition</w:t>
            </w:r>
          </w:p>
          <w:p w:rsidR="00300F06" w:rsidRPr="00DD56DD" w:rsidRDefault="00E71342" w:rsidP="00F6759B">
            <w:pPr>
              <w:rPr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develop positive attitudes tow</w:t>
            </w:r>
            <w:r w:rsidRPr="004C22D4">
              <w:rPr>
                <w:sz w:val="17"/>
                <w:szCs w:val="17"/>
              </w:rPr>
              <w:t xml:space="preserve">ards and stamina for writing by </w:t>
            </w:r>
            <w:r w:rsidR="00843F46" w:rsidRPr="004C22D4">
              <w:rPr>
                <w:sz w:val="17"/>
                <w:szCs w:val="17"/>
              </w:rPr>
              <w:t>writing for different purposes</w:t>
            </w:r>
            <w:r w:rsidRPr="004C22D4">
              <w:rPr>
                <w:sz w:val="17"/>
                <w:szCs w:val="17"/>
              </w:rPr>
              <w:t>.</w:t>
            </w:r>
            <w:bookmarkStart w:id="0" w:name="_GoBack"/>
            <w:bookmarkEnd w:id="0"/>
          </w:p>
        </w:tc>
      </w:tr>
      <w:tr w:rsidR="00300F06" w:rsidRPr="004C22D4" w:rsidTr="004C22D4">
        <w:trPr>
          <w:cantSplit/>
        </w:trPr>
        <w:tc>
          <w:tcPr>
            <w:tcW w:w="1242" w:type="dxa"/>
          </w:tcPr>
          <w:p w:rsidR="00300F06" w:rsidRPr="004C22D4" w:rsidRDefault="00300F06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br w:type="page"/>
              <w:t>Assessment</w:t>
            </w:r>
          </w:p>
        </w:tc>
        <w:tc>
          <w:tcPr>
            <w:tcW w:w="1134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>What Baby Bear thought</w:t>
            </w:r>
          </w:p>
        </w:tc>
        <w:tc>
          <w:tcPr>
            <w:tcW w:w="849" w:type="dxa"/>
          </w:tcPr>
          <w:p w:rsidR="00300F06" w:rsidRPr="004C22D4" w:rsidRDefault="009B4D2E" w:rsidP="00E764D8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rFonts w:cstheme="minorHAnsi"/>
                <w:sz w:val="17"/>
                <w:szCs w:val="17"/>
              </w:rPr>
              <w:t>31</w:t>
            </w:r>
          </w:p>
        </w:tc>
        <w:tc>
          <w:tcPr>
            <w:tcW w:w="11200" w:type="dxa"/>
          </w:tcPr>
          <w:p w:rsidR="00843F46" w:rsidRPr="004C22D4" w:rsidRDefault="00843F46" w:rsidP="00843F46">
            <w:pPr>
              <w:rPr>
                <w:b/>
                <w:sz w:val="17"/>
                <w:szCs w:val="17"/>
              </w:rPr>
            </w:pPr>
            <w:r w:rsidRPr="004C22D4">
              <w:rPr>
                <w:b/>
                <w:sz w:val="17"/>
                <w:szCs w:val="17"/>
              </w:rPr>
              <w:t>Year 2 programme of study: READING: Comprehension</w:t>
            </w:r>
          </w:p>
          <w:p w:rsidR="00300F06" w:rsidRPr="004C22D4" w:rsidRDefault="00E71342" w:rsidP="00F6759B">
            <w:pPr>
              <w:rPr>
                <w:rFonts w:cstheme="minorHAnsi"/>
                <w:sz w:val="17"/>
                <w:szCs w:val="17"/>
              </w:rPr>
            </w:pPr>
            <w:r w:rsidRPr="004C22D4">
              <w:rPr>
                <w:sz w:val="17"/>
                <w:szCs w:val="17"/>
              </w:rPr>
              <w:t xml:space="preserve">To </w:t>
            </w:r>
            <w:r w:rsidR="00843F46" w:rsidRPr="004C22D4">
              <w:rPr>
                <w:sz w:val="17"/>
                <w:szCs w:val="17"/>
              </w:rPr>
              <w:t>understand both the books that they can already read accurately and fluently a</w:t>
            </w:r>
            <w:r w:rsidRPr="004C22D4">
              <w:rPr>
                <w:sz w:val="17"/>
                <w:szCs w:val="17"/>
              </w:rPr>
              <w:t xml:space="preserve">nd those that they listen to by </w:t>
            </w:r>
            <w:r w:rsidR="00843F46" w:rsidRPr="004C22D4">
              <w:rPr>
                <w:sz w:val="17"/>
                <w:szCs w:val="17"/>
              </w:rPr>
              <w:t>making inferences on the basis of what is being said and done</w:t>
            </w:r>
            <w:r w:rsidRPr="004C22D4">
              <w:rPr>
                <w:sz w:val="17"/>
                <w:szCs w:val="17"/>
              </w:rPr>
              <w:t>.</w:t>
            </w:r>
          </w:p>
        </w:tc>
      </w:tr>
    </w:tbl>
    <w:p w:rsidR="00F62B19" w:rsidRPr="004C22D4" w:rsidRDefault="00F62B19" w:rsidP="004C22D4">
      <w:pPr>
        <w:rPr>
          <w:rFonts w:cstheme="minorHAnsi"/>
          <w:sz w:val="17"/>
          <w:szCs w:val="17"/>
        </w:rPr>
      </w:pPr>
    </w:p>
    <w:sectPr w:rsidR="00F62B19" w:rsidRPr="004C22D4" w:rsidSect="004C22D4">
      <w:headerReference w:type="default" r:id="rId9"/>
      <w:footerReference w:type="default" r:id="rId10"/>
      <w:pgSz w:w="16838" w:h="11906" w:orient="landscape"/>
      <w:pgMar w:top="113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7D" w:rsidRDefault="00EB4D7D" w:rsidP="00E0747F">
      <w:r>
        <w:separator/>
      </w:r>
    </w:p>
  </w:endnote>
  <w:endnote w:type="continuationSeparator" w:id="0">
    <w:p w:rsidR="00EB4D7D" w:rsidRDefault="00EB4D7D" w:rsidP="00E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-175481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4D8" w:rsidRPr="00E64AF1" w:rsidRDefault="00E764D8" w:rsidP="00B25F10">
        <w:pPr>
          <w:pStyle w:val="Caption"/>
          <w:tabs>
            <w:tab w:val="right" w:pos="8280"/>
          </w:tabs>
          <w:jc w:val="left"/>
          <w:rPr>
            <w:rFonts w:ascii="Verdana" w:hAnsi="Verdana"/>
            <w:b w:val="0"/>
            <w:sz w:val="20"/>
            <w:szCs w:val="20"/>
          </w:rPr>
        </w:pPr>
      </w:p>
      <w:p w:rsidR="00E764D8" w:rsidRDefault="00DD56DD" w:rsidP="0012258A">
        <w:pPr>
          <w:pStyle w:val="Footer"/>
          <w:jc w:val="center"/>
        </w:pPr>
        <w:hyperlink r:id="rId1" w:history="1">
          <w:r w:rsidR="00E764D8" w:rsidRPr="00E2191F">
            <w:rPr>
              <w:rStyle w:val="Hyperlink"/>
            </w:rPr>
            <w:t>www.scholastic.co.uk/readandrespond</w:t>
          </w:r>
        </w:hyperlink>
        <w:r w:rsidR="00E764D8">
          <w:t xml:space="preserve"> </w:t>
        </w:r>
        <w:r w:rsidR="00E764D8" w:rsidRPr="0012258A">
          <w:t xml:space="preserve"> </w:t>
        </w:r>
        <w:r w:rsidR="00E764D8">
          <w:rPr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58240" behindDoc="0" locked="0" layoutInCell="1" allowOverlap="1" wp14:anchorId="3FFD42F0" wp14:editId="71FDB824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1343025" cy="180975"/>
              <wp:effectExtent l="0" t="0" r="9525" b="9525"/>
              <wp:wrapNone/>
              <wp:docPr id="1" name="Picture 1" descr="logob&amp;wnobl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b&amp;wnoble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4D8">
          <w:t xml:space="preserve"> </w:t>
        </w:r>
      </w:p>
      <w:p w:rsidR="00E764D8" w:rsidRDefault="00E764D8" w:rsidP="0012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7D" w:rsidRDefault="00EB4D7D" w:rsidP="00E0747F">
      <w:r>
        <w:separator/>
      </w:r>
    </w:p>
  </w:footnote>
  <w:footnote w:type="continuationSeparator" w:id="0">
    <w:p w:rsidR="00EB4D7D" w:rsidRDefault="00EB4D7D" w:rsidP="00E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D8" w:rsidRPr="00386E1A" w:rsidRDefault="00E764D8" w:rsidP="00386E1A">
    <w:pPr>
      <w:jc w:val="center"/>
      <w:rPr>
        <w:b/>
      </w:rPr>
    </w:pPr>
    <w:r w:rsidRPr="00B25F10">
      <w:rPr>
        <w:b/>
        <w:i/>
      </w:rPr>
      <w:t xml:space="preserve">Read &amp; Respond </w:t>
    </w:r>
    <w:r w:rsidR="009217A3">
      <w:rPr>
        <w:b/>
        <w:i/>
      </w:rPr>
      <w:t>Whatever Next!</w:t>
    </w:r>
    <w:r w:rsidRPr="0044356B">
      <w:rPr>
        <w:b/>
      </w:rPr>
      <w:t>: C</w:t>
    </w:r>
    <w:r>
      <w:rPr>
        <w:b/>
      </w:rPr>
      <w:t>orrelation to the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8"/>
    <w:multiLevelType w:val="hybridMultilevel"/>
    <w:tmpl w:val="C7F4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81538"/>
    <w:multiLevelType w:val="hybridMultilevel"/>
    <w:tmpl w:val="9A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B077A"/>
    <w:multiLevelType w:val="hybridMultilevel"/>
    <w:tmpl w:val="273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11603"/>
    <w:rsid w:val="00026325"/>
    <w:rsid w:val="000958F4"/>
    <w:rsid w:val="00110026"/>
    <w:rsid w:val="00114896"/>
    <w:rsid w:val="0012258A"/>
    <w:rsid w:val="00134A8C"/>
    <w:rsid w:val="00141531"/>
    <w:rsid w:val="00194372"/>
    <w:rsid w:val="001B4883"/>
    <w:rsid w:val="001E210A"/>
    <w:rsid w:val="00300F06"/>
    <w:rsid w:val="003322B6"/>
    <w:rsid w:val="003636EB"/>
    <w:rsid w:val="00386E1A"/>
    <w:rsid w:val="003E1D57"/>
    <w:rsid w:val="003F1DF3"/>
    <w:rsid w:val="0044356B"/>
    <w:rsid w:val="004676F9"/>
    <w:rsid w:val="004A3B36"/>
    <w:rsid w:val="004C22D4"/>
    <w:rsid w:val="004F3B08"/>
    <w:rsid w:val="005061EA"/>
    <w:rsid w:val="00540E84"/>
    <w:rsid w:val="00546B23"/>
    <w:rsid w:val="005716A0"/>
    <w:rsid w:val="00574C8C"/>
    <w:rsid w:val="00607554"/>
    <w:rsid w:val="006C247D"/>
    <w:rsid w:val="0076207F"/>
    <w:rsid w:val="007844E1"/>
    <w:rsid w:val="007C1A11"/>
    <w:rsid w:val="007E203B"/>
    <w:rsid w:val="007E6449"/>
    <w:rsid w:val="008100A9"/>
    <w:rsid w:val="00843F46"/>
    <w:rsid w:val="008B74D8"/>
    <w:rsid w:val="008C1E6E"/>
    <w:rsid w:val="008C7E8F"/>
    <w:rsid w:val="00912FA5"/>
    <w:rsid w:val="009217A3"/>
    <w:rsid w:val="00995DE2"/>
    <w:rsid w:val="009B4D2E"/>
    <w:rsid w:val="009C27F8"/>
    <w:rsid w:val="009E670B"/>
    <w:rsid w:val="00AA1DB9"/>
    <w:rsid w:val="00AB60C0"/>
    <w:rsid w:val="00B25F10"/>
    <w:rsid w:val="00B37814"/>
    <w:rsid w:val="00BC2ED5"/>
    <w:rsid w:val="00BC4BB1"/>
    <w:rsid w:val="00C11309"/>
    <w:rsid w:val="00C17A1C"/>
    <w:rsid w:val="00C36B93"/>
    <w:rsid w:val="00DD56DD"/>
    <w:rsid w:val="00E0747F"/>
    <w:rsid w:val="00E44D91"/>
    <w:rsid w:val="00E71342"/>
    <w:rsid w:val="00E764D8"/>
    <w:rsid w:val="00EA4336"/>
    <w:rsid w:val="00EB4D7D"/>
    <w:rsid w:val="00F57E6E"/>
    <w:rsid w:val="00F62B19"/>
    <w:rsid w:val="00F6759B"/>
    <w:rsid w:val="00FC15A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scholastic.co.uk/readand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D048-92F7-4718-964B-5B33DFAE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Rachel</dc:creator>
  <cp:lastModifiedBy>Morgan, Rachel</cp:lastModifiedBy>
  <cp:revision>9</cp:revision>
  <dcterms:created xsi:type="dcterms:W3CDTF">2013-06-10T08:51:00Z</dcterms:created>
  <dcterms:modified xsi:type="dcterms:W3CDTF">2013-08-14T15:59:00Z</dcterms:modified>
</cp:coreProperties>
</file>